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116C6E" w:rsidRDefault="00D67EF3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Краснокосаровской</w:t>
      </w:r>
      <w:proofErr w:type="spellEnd"/>
      <w:r>
        <w:rPr>
          <w:sz w:val="28"/>
          <w:szCs w:val="28"/>
        </w:rPr>
        <w:t xml:space="preserve"> сельской администрации  о</w:t>
      </w:r>
      <w:r w:rsidRPr="00116C6E">
        <w:rPr>
          <w:sz w:val="28"/>
          <w:szCs w:val="28"/>
        </w:rPr>
        <w:t>б</w:t>
      </w:r>
      <w:r>
        <w:rPr>
          <w:sz w:val="28"/>
          <w:szCs w:val="28"/>
        </w:rPr>
        <w:t xml:space="preserve"> исполнении бюджета муниципального образования «</w:t>
      </w:r>
      <w:proofErr w:type="spellStart"/>
      <w:r>
        <w:rPr>
          <w:sz w:val="28"/>
          <w:szCs w:val="28"/>
        </w:rPr>
        <w:t>Краснокосаровское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</w:t>
      </w:r>
      <w:r w:rsidR="00DF0E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 года.</w:t>
      </w:r>
    </w:p>
    <w:p w:rsidR="00D67EF3" w:rsidRDefault="00D67EF3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0EAA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DF0EAA">
        <w:rPr>
          <w:sz w:val="28"/>
          <w:szCs w:val="28"/>
        </w:rPr>
        <w:t>8</w:t>
      </w:r>
      <w:r>
        <w:rPr>
          <w:sz w:val="28"/>
          <w:szCs w:val="28"/>
        </w:rPr>
        <w:t xml:space="preserve">.2019 г. </w:t>
      </w:r>
      <w:r w:rsidR="00E865A8">
        <w:rPr>
          <w:sz w:val="28"/>
          <w:szCs w:val="28"/>
        </w:rPr>
        <w:t>№ 100</w:t>
      </w:r>
      <w:r>
        <w:rPr>
          <w:sz w:val="28"/>
          <w:szCs w:val="28"/>
        </w:rPr>
        <w:t xml:space="preserve">                                                   </w:t>
      </w:r>
    </w:p>
    <w:p w:rsidR="00D67EF3" w:rsidRDefault="00D67EF3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2E6729">
        <w:rPr>
          <w:sz w:val="28"/>
          <w:szCs w:val="28"/>
        </w:rPr>
        <w:t xml:space="preserve">                                                                                      </w:t>
      </w:r>
    </w:p>
    <w:p w:rsidR="00D67EF3" w:rsidRPr="005D7757" w:rsidRDefault="00D67EF3" w:rsidP="000C6E42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</w:t>
      </w:r>
      <w:r w:rsidRPr="005D7757">
        <w:t xml:space="preserve">                                                                                                   </w:t>
      </w:r>
      <w:bookmarkStart w:id="0" w:name="_GoBack"/>
      <w:bookmarkEnd w:id="0"/>
      <w:r w:rsidRPr="005D7757">
        <w:t xml:space="preserve">                            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>
        <w:t xml:space="preserve">1 </w:t>
      </w:r>
      <w:r w:rsidR="00DF0EAA">
        <w:t>полугодие</w:t>
      </w:r>
      <w:r>
        <w:t xml:space="preserve"> 2019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 w:rsidR="004D3D0D">
        <w:t>7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63097">
          <w:rPr>
            <w:sz w:val="28"/>
            <w:szCs w:val="28"/>
          </w:rPr>
          <w:t>2</w:t>
        </w:r>
        <w:r>
          <w:rPr>
            <w:sz w:val="28"/>
            <w:szCs w:val="28"/>
          </w:rPr>
          <w:t>9.12.2018</w:t>
        </w:r>
      </w:smartTag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DF0EAA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№3-164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>
        <w:rPr>
          <w:rFonts w:ascii="Times New Roman" w:hAnsi="Times New Roman" w:cs="Times New Roman"/>
          <w:sz w:val="27"/>
          <w:szCs w:val="27"/>
        </w:rPr>
        <w:t>1248,0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Default="00D67EF3" w:rsidP="00EE6371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за </w:t>
      </w:r>
      <w:r>
        <w:t xml:space="preserve">1 </w:t>
      </w:r>
      <w:r w:rsidR="00DF0EAA">
        <w:t>полугодие</w:t>
      </w:r>
      <w:r>
        <w:t xml:space="preserve"> 2019</w:t>
      </w:r>
      <w:r w:rsidRPr="00410E67">
        <w:t xml:space="preserve">года исполнен: по доходам в сумме </w:t>
      </w:r>
      <w:r w:rsidR="00A26FAA">
        <w:rPr>
          <w:rStyle w:val="30"/>
          <w:sz w:val="27"/>
          <w:szCs w:val="27"/>
        </w:rPr>
        <w:t>585,5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A26FAA">
        <w:t>.</w:t>
      </w:r>
      <w:r w:rsidRPr="00410E67">
        <w:t xml:space="preserve">, или на </w:t>
      </w:r>
      <w:r w:rsidR="00D969AE">
        <w:t>46,9</w:t>
      </w:r>
      <w:r w:rsidRPr="00410E67">
        <w:t xml:space="preserve"> % к утвержденным назначениям с учетом изменений, что на </w:t>
      </w:r>
      <w:r w:rsidR="00D969AE">
        <w:t>227,4</w:t>
      </w:r>
      <w:r>
        <w:t xml:space="preserve"> тыс.</w:t>
      </w:r>
      <w:r w:rsidR="00D969AE">
        <w:t xml:space="preserve"> руб.</w:t>
      </w:r>
      <w:r w:rsidRPr="00410E67">
        <w:t xml:space="preserve"> </w:t>
      </w:r>
      <w:r>
        <w:t>больше</w:t>
      </w:r>
      <w:r w:rsidRPr="00410E67">
        <w:t xml:space="preserve"> чем </w:t>
      </w:r>
      <w:r>
        <w:t xml:space="preserve">в прошлом году.(1 </w:t>
      </w:r>
      <w:r w:rsidR="00DF0EAA">
        <w:t>полугодие</w:t>
      </w:r>
      <w:r>
        <w:t xml:space="preserve"> 201</w:t>
      </w:r>
      <w:r w:rsidR="00D969AE">
        <w:t>8</w:t>
      </w:r>
      <w:r w:rsidRPr="00410E67">
        <w:t xml:space="preserve">года </w:t>
      </w:r>
      <w:r w:rsidR="00D969AE">
        <w:t>358,1</w:t>
      </w:r>
      <w:r>
        <w:t xml:space="preserve"> тыс.</w:t>
      </w:r>
      <w:r w:rsidR="00D969AE">
        <w:t xml:space="preserve"> </w:t>
      </w:r>
      <w:r>
        <w:t>руб</w:t>
      </w:r>
      <w:r w:rsidR="007F4639">
        <w:t>.</w:t>
      </w:r>
      <w: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="00D969AE">
        <w:rPr>
          <w:b/>
        </w:rPr>
        <w:t xml:space="preserve"> поступили </w:t>
      </w:r>
      <w:r w:rsidRPr="00410E67">
        <w:t xml:space="preserve"> в объеме</w:t>
      </w:r>
      <w:r>
        <w:t xml:space="preserve"> </w:t>
      </w:r>
      <w:r w:rsidR="00D969AE">
        <w:t>531,6</w:t>
      </w:r>
      <w:r>
        <w:t xml:space="preserve"> тыс.</w:t>
      </w:r>
      <w:r w:rsidRPr="00410E67">
        <w:t xml:space="preserve"> </w:t>
      </w:r>
      <w:proofErr w:type="spellStart"/>
      <w:r w:rsidRPr="00410E67">
        <w:t>руб</w:t>
      </w:r>
      <w:proofErr w:type="spellEnd"/>
      <w:r w:rsidRPr="00410E67">
        <w:t xml:space="preserve">, или </w:t>
      </w:r>
      <w:r w:rsidR="00D84B27">
        <w:t>47,8</w:t>
      </w:r>
      <w:r w:rsidRPr="00410E67">
        <w:t xml:space="preserve"> % к утвержденным назначениям с учетом изменений, что на </w:t>
      </w:r>
      <w:r w:rsidR="00D84B27">
        <w:t>204,7</w:t>
      </w:r>
      <w:r>
        <w:t xml:space="preserve"> тыс.</w:t>
      </w:r>
      <w:r w:rsidRPr="00410E67">
        <w:t xml:space="preserve"> руб</w:t>
      </w:r>
      <w:r w:rsidR="00D84B27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>
        <w:t>ления за аналогичный период 2018</w:t>
      </w:r>
      <w:r w:rsidRPr="00410E67">
        <w:t xml:space="preserve"> года (</w:t>
      </w:r>
      <w:r w:rsidR="00D84B27">
        <w:t>326,9 тыс.</w:t>
      </w:r>
      <w:r w:rsidR="00D84B27" w:rsidRPr="00410E67">
        <w:t xml:space="preserve"> руб</w:t>
      </w:r>
      <w:r w:rsidR="00D84B27">
        <w:t>.</w:t>
      </w:r>
      <w:r w:rsidRPr="00410E67">
        <w:t>).</w:t>
      </w:r>
      <w:r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1 </w:t>
      </w:r>
      <w:r w:rsidR="00DF0EAA">
        <w:t>полугодие</w:t>
      </w:r>
      <w:r>
        <w:t xml:space="preserve"> 2019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D84B27">
        <w:t>487,0</w:t>
      </w:r>
      <w:r>
        <w:t xml:space="preserve"> тыс.</w:t>
      </w:r>
      <w:r w:rsidRPr="00410E67">
        <w:t xml:space="preserve"> рублей, или </w:t>
      </w:r>
      <w:r w:rsidR="00E54392">
        <w:t>50,</w:t>
      </w:r>
      <w:r>
        <w:t>1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 w:rsidRPr="00410E67">
        <w:rPr>
          <w:bCs/>
        </w:rPr>
        <w:lastRenderedPageBreak/>
        <w:t>назначений.</w:t>
      </w:r>
      <w:r>
        <w:t xml:space="preserve"> К соответствующему периоду 2018</w:t>
      </w:r>
      <w:r w:rsidRPr="00410E67">
        <w:t xml:space="preserve"> года </w:t>
      </w:r>
      <w:r>
        <w:t xml:space="preserve">поступления увеличились на </w:t>
      </w:r>
      <w:r w:rsidR="00E54392">
        <w:t>170,0</w:t>
      </w:r>
      <w:r>
        <w:t xml:space="preserve"> тыс.</w:t>
      </w:r>
      <w:r w:rsidR="00E54392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1 </w:t>
      </w:r>
      <w:r w:rsidR="00DF0EAA">
        <w:t>полугодие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 w:rsidR="00E54392" w:rsidRPr="00E54392">
        <w:rPr>
          <w:i/>
        </w:rPr>
        <w:t xml:space="preserve">налог на совокупный доход, </w:t>
      </w:r>
      <w:r>
        <w:rPr>
          <w:i/>
        </w:rPr>
        <w:t>налог на имущество</w:t>
      </w:r>
      <w:r w:rsidR="00E54392">
        <w:rPr>
          <w:i/>
        </w:rPr>
        <w:t xml:space="preserve"> физических лиц, налог на землю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</w:t>
      </w:r>
      <w:r w:rsidR="00E54392">
        <w:t>9</w:t>
      </w:r>
      <w:r>
        <w:t>,9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E54392">
        <w:t>24,8</w:t>
      </w:r>
      <w:r>
        <w:t xml:space="preserve"> тыс.</w:t>
      </w:r>
      <w:r w:rsidR="00E54392">
        <w:t xml:space="preserve"> руб.</w:t>
      </w:r>
      <w:r w:rsidRPr="00410E67">
        <w:t xml:space="preserve">, годовые плановые назначения исполнены на </w:t>
      </w:r>
      <w:r w:rsidR="00E54392">
        <w:t>39,9</w:t>
      </w:r>
      <w:r w:rsidRPr="00410E67">
        <w:t> %.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E54392">
        <w:t>53,4</w:t>
      </w:r>
      <w:r w:rsidRPr="009957C0">
        <w:t>% налоговых доходов</w:t>
      </w:r>
      <w:r w:rsidRPr="00410E67">
        <w:t xml:space="preserve">. Объем поступлений составил </w:t>
      </w:r>
      <w:r w:rsidR="00E54392">
        <w:t xml:space="preserve">260,1 тыс. </w:t>
      </w:r>
      <w:r>
        <w:t>руб</w:t>
      </w:r>
      <w:r w:rsidR="00E54392">
        <w:t>.</w:t>
      </w:r>
      <w:r>
        <w:t xml:space="preserve"> или </w:t>
      </w:r>
      <w:r w:rsidR="00E54392">
        <w:t>31</w:t>
      </w:r>
      <w:r>
        <w:t>,</w:t>
      </w:r>
      <w:r w:rsidR="00E54392">
        <w:t>0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8</w:t>
      </w:r>
      <w:r w:rsidR="00E54392">
        <w:t>6,9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E54392">
        <w:t>226,8</w:t>
      </w:r>
      <w:r>
        <w:t xml:space="preserve"> тыс. </w:t>
      </w:r>
      <w:r w:rsidRPr="00410E67">
        <w:t>руб</w:t>
      </w:r>
      <w:r w:rsidR="00E54392">
        <w:t>.</w:t>
      </w:r>
      <w:r w:rsidRPr="00410E67">
        <w:t xml:space="preserve">, годовые назначения исполнены на </w:t>
      </w:r>
      <w:r w:rsidR="00E54392">
        <w:t>31,6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E54392">
        <w:t xml:space="preserve">(186,5 </w:t>
      </w:r>
      <w:proofErr w:type="spellStart"/>
      <w:r w:rsidR="00E54392">
        <w:t>тыс</w:t>
      </w:r>
      <w:proofErr w:type="gramStart"/>
      <w:r w:rsidR="00E54392">
        <w:t>.р</w:t>
      </w:r>
      <w:proofErr w:type="gramEnd"/>
      <w:r w:rsidR="00E54392">
        <w:t>уб</w:t>
      </w:r>
      <w:proofErr w:type="spellEnd"/>
      <w:r w:rsidR="00E54392">
        <w:t>.)</w:t>
      </w:r>
      <w:r w:rsidRPr="00410E67">
        <w:t xml:space="preserve"> поступление </w:t>
      </w:r>
      <w:r>
        <w:t>увеличилось на</w:t>
      </w:r>
      <w:r w:rsidRPr="00410E67">
        <w:t xml:space="preserve"> </w:t>
      </w:r>
      <w:r w:rsidR="00B302C4">
        <w:t>21,6</w:t>
      </w:r>
      <w:r w:rsidRPr="00410E67">
        <w:t xml:space="preserve"> %, или на </w:t>
      </w:r>
      <w:r w:rsidR="00B302C4">
        <w:t>40,3</w:t>
      </w:r>
      <w:r>
        <w:t xml:space="preserve"> тыс.</w:t>
      </w:r>
      <w:r w:rsidRPr="00410E67">
        <w:t xml:space="preserve"> руб</w:t>
      </w:r>
      <w:r w:rsidR="00B302C4">
        <w:t>.</w:t>
      </w:r>
      <w:r w:rsidRPr="00410E67">
        <w:t xml:space="preserve">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B302C4">
        <w:t>33,3 тыс.</w:t>
      </w:r>
      <w:r w:rsidRPr="00410E67">
        <w:t xml:space="preserve"> руб</w:t>
      </w:r>
      <w:r w:rsidR="00B302C4">
        <w:t>.</w:t>
      </w:r>
      <w:r w:rsidRPr="00410E67">
        <w:t xml:space="preserve">, или </w:t>
      </w:r>
      <w:r>
        <w:t>2</w:t>
      </w:r>
      <w:r w:rsidR="00B302C4">
        <w:t>7,3</w:t>
      </w:r>
      <w:r w:rsidRPr="00410E67">
        <w:t xml:space="preserve"> % годовых плановых назначений. В структуре собственных доходов </w:t>
      </w:r>
      <w:r w:rsidR="00B302C4">
        <w:t>6,3</w:t>
      </w:r>
      <w:r w:rsidRPr="00410E67">
        <w:t xml:space="preserve"> %.</w:t>
      </w:r>
      <w:r w:rsidRPr="006F550A">
        <w:rPr>
          <w:i/>
        </w:rPr>
        <w:t xml:space="preserve"> Налог на совокупный доход </w:t>
      </w:r>
      <w:r w:rsidRPr="006F550A">
        <w:t>составил</w:t>
      </w:r>
      <w:r>
        <w:t xml:space="preserve"> </w:t>
      </w:r>
      <w:r w:rsidR="00B302C4">
        <w:t>201,9</w:t>
      </w:r>
      <w:r>
        <w:t xml:space="preserve"> тыс. рублей, при годовом утвержденном плане 190,7 тыс. рублей, или </w:t>
      </w:r>
      <w:r w:rsidR="00B302C4">
        <w:t>105,9</w:t>
      </w:r>
      <w:r>
        <w:t xml:space="preserve"> %.Удельный вес в общем объеме доходов </w:t>
      </w:r>
      <w:r w:rsidR="00B302C4">
        <w:t>37,9</w:t>
      </w:r>
      <w:r>
        <w:t xml:space="preserve"> %.</w:t>
      </w:r>
      <w:r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B302C4">
        <w:t>3</w:t>
      </w:r>
      <w:r>
        <w:t xml:space="preserve"> тыс.</w:t>
      </w:r>
      <w:r w:rsidRPr="00410E67">
        <w:t xml:space="preserve"> </w:t>
      </w:r>
      <w:proofErr w:type="spellStart"/>
      <w:r w:rsidRPr="00410E67">
        <w:t>рубл</w:t>
      </w:r>
      <w:proofErr w:type="spellEnd"/>
      <w:r w:rsidR="00B302C4">
        <w:t>.</w:t>
      </w:r>
      <w:r w:rsidRPr="00410E67">
        <w:t xml:space="preserve"> при годовом плане </w:t>
      </w:r>
      <w:r>
        <w:t>1,0 тыс.</w:t>
      </w:r>
      <w:r w:rsidRPr="00410E67">
        <w:t xml:space="preserve"> рублей.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B302C4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 xml:space="preserve">1 </w:t>
      </w:r>
      <w:r w:rsidR="00DF0EAA">
        <w:rPr>
          <w:bCs/>
          <w:spacing w:val="-4"/>
        </w:rPr>
        <w:t>полугодие</w:t>
      </w:r>
      <w:r>
        <w:rPr>
          <w:bCs/>
          <w:spacing w:val="-4"/>
        </w:rPr>
        <w:t xml:space="preserve"> 2019</w:t>
      </w:r>
      <w:r w:rsidRPr="00410E67">
        <w:rPr>
          <w:bCs/>
          <w:spacing w:val="-4"/>
        </w:rPr>
        <w:t xml:space="preserve"> года исполнение составило </w:t>
      </w:r>
      <w:r w:rsidR="00B302C4">
        <w:rPr>
          <w:bCs/>
          <w:spacing w:val="-4"/>
        </w:rPr>
        <w:t>44,6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рублей, или </w:t>
      </w:r>
      <w:r w:rsidR="00B302C4">
        <w:rPr>
          <w:bCs/>
        </w:rPr>
        <w:t>51,5</w:t>
      </w:r>
      <w:r w:rsidRPr="00410E67">
        <w:rPr>
          <w:bCs/>
        </w:rPr>
        <w:t xml:space="preserve"> % годовых плановых назначений.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>
        <w:rPr>
          <w:bCs/>
        </w:rPr>
        <w:br/>
      </w:r>
      <w:bookmarkStart w:id="2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2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DF0EAA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546D45">
        <w:rPr>
          <w:rFonts w:ascii="Times New Roman" w:hAnsi="Times New Roman" w:cs="Times New Roman"/>
          <w:sz w:val="27"/>
          <w:szCs w:val="27"/>
        </w:rPr>
        <w:t>53,9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546D45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546D45">
        <w:rPr>
          <w:rFonts w:ascii="Times New Roman" w:hAnsi="Times New Roman" w:cs="Times New Roman"/>
          <w:sz w:val="27"/>
          <w:szCs w:val="27"/>
        </w:rPr>
        <w:t>39</w:t>
      </w:r>
      <w:r>
        <w:rPr>
          <w:rFonts w:ascii="Times New Roman" w:hAnsi="Times New Roman" w:cs="Times New Roman"/>
          <w:sz w:val="27"/>
          <w:szCs w:val="27"/>
        </w:rPr>
        <w:t>,5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 w:rsidR="00546D45">
        <w:rPr>
          <w:rFonts w:ascii="Times New Roman" w:hAnsi="Times New Roman" w:cs="Times New Roman"/>
          <w:sz w:val="27"/>
          <w:szCs w:val="27"/>
        </w:rPr>
        <w:t>21,9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D67EF3" w:rsidRDefault="00D67EF3" w:rsidP="00546D45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Наибольший объем в структуре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безвозмездных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поступлений-</w:t>
      </w:r>
      <w:r w:rsidR="00546D45">
        <w:rPr>
          <w:rFonts w:ascii="Times New Roman" w:hAnsi="Times New Roman" w:cs="Times New Roman"/>
          <w:sz w:val="27"/>
          <w:szCs w:val="27"/>
        </w:rPr>
        <w:t>58,1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субвенции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DF0EAA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 w:rsidR="00546D45">
        <w:rPr>
          <w:rFonts w:ascii="Times New Roman" w:hAnsi="Times New Roman" w:cs="Times New Roman"/>
          <w:sz w:val="27"/>
          <w:szCs w:val="27"/>
        </w:rPr>
        <w:t>39,7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546D45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546D45">
        <w:rPr>
          <w:rFonts w:ascii="Times New Roman" w:hAnsi="Times New Roman" w:cs="Times New Roman"/>
          <w:sz w:val="27"/>
          <w:szCs w:val="27"/>
        </w:rPr>
        <w:t xml:space="preserve">50,0 % уточненной бюджетной росписи. </w:t>
      </w:r>
      <w:r>
        <w:rPr>
          <w:rFonts w:ascii="Times New Roman" w:hAnsi="Times New Roman" w:cs="Times New Roman"/>
          <w:sz w:val="27"/>
          <w:szCs w:val="27"/>
        </w:rPr>
        <w:t xml:space="preserve">Удельный вес в структуре доходов составляет </w:t>
      </w:r>
      <w:r w:rsidR="00546D45">
        <w:rPr>
          <w:rFonts w:ascii="Times New Roman" w:hAnsi="Times New Roman" w:cs="Times New Roman"/>
          <w:sz w:val="27"/>
          <w:szCs w:val="27"/>
        </w:rPr>
        <w:t>6,8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 xml:space="preserve">1 </w:t>
      </w:r>
      <w:r w:rsidR="00DF0EAA">
        <w:rPr>
          <w:rStyle w:val="12"/>
          <w:b/>
        </w:rPr>
        <w:t>полугодие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исполнены в сумме </w:t>
      </w:r>
      <w:r w:rsidR="00393754">
        <w:rPr>
          <w:rStyle w:val="10"/>
        </w:rPr>
        <w:t>508,8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</w:t>
      </w:r>
      <w:r w:rsidR="00393754">
        <w:rPr>
          <w:rStyle w:val="10"/>
        </w:rPr>
        <w:t>43,8</w:t>
      </w:r>
      <w:r w:rsidRPr="00410E67">
        <w:rPr>
          <w:rStyle w:val="10"/>
        </w:rPr>
        <w:t xml:space="preserve"> % от утвержденных годовых назначений.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  <w:sectPr w:rsidR="00D67EF3" w:rsidRPr="00410E67" w:rsidSect="00E865A8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08527B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D67EF3"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 w:rsidR="00D67EF3">
        <w:rPr>
          <w:rStyle w:val="10"/>
        </w:rPr>
        <w:t xml:space="preserve"> 2019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623A0B">
        <w:rPr>
          <w:i/>
        </w:rPr>
        <w:t>86,4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D67EF3">
        <w:rPr>
          <w:i/>
        </w:rPr>
        <w:t xml:space="preserve">02 «Национальная оборона» - </w:t>
      </w:r>
      <w:r w:rsidR="00623A0B">
        <w:rPr>
          <w:i/>
        </w:rPr>
        <w:t>6,2</w:t>
      </w:r>
      <w:r w:rsidR="00D67EF3">
        <w:rPr>
          <w:i/>
        </w:rPr>
        <w:t xml:space="preserve"> 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составили </w:t>
      </w:r>
      <w:r w:rsidR="00623A0B">
        <w:rPr>
          <w:rStyle w:val="32"/>
          <w:sz w:val="27"/>
          <w:szCs w:val="27"/>
        </w:rPr>
        <w:t>508,8</w:t>
      </w:r>
      <w:r w:rsidRPr="00C90F30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623A0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623A0B">
        <w:rPr>
          <w:rStyle w:val="10"/>
        </w:rPr>
        <w:t>43,8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 w:rsidR="00623A0B">
        <w:rPr>
          <w:rStyle w:val="10"/>
        </w:rPr>
        <w:t>2,3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396,0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623A0B">
        <w:rPr>
          <w:rStyle w:val="32"/>
          <w:sz w:val="27"/>
          <w:szCs w:val="27"/>
        </w:rPr>
        <w:t>166,7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 w:rsidR="00623A0B">
        <w:rPr>
          <w:rStyle w:val="10"/>
        </w:rPr>
        <w:t>42,1</w:t>
      </w:r>
      <w:r w:rsidRPr="00410E67">
        <w:rPr>
          <w:rStyle w:val="10"/>
        </w:rPr>
        <w:t>%);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623A0B">
        <w:t>340,3 тыс.</w:t>
      </w:r>
      <w:r w:rsidR="00F56F98">
        <w:t xml:space="preserve"> </w:t>
      </w:r>
      <w:r w:rsidRPr="00410E67">
        <w:t>руб</w:t>
      </w:r>
      <w:r w:rsidR="00623A0B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>
        <w:t>756,3</w:t>
      </w:r>
      <w:r w:rsidRPr="00410E67">
        <w:t xml:space="preserve"> </w:t>
      </w:r>
      <w:proofErr w:type="spellStart"/>
      <w:r w:rsidR="00F56F98">
        <w:t>тыс</w:t>
      </w:r>
      <w:proofErr w:type="gramStart"/>
      <w:r w:rsidR="00F56F98">
        <w:t>.р</w:t>
      </w:r>
      <w:proofErr w:type="gramEnd"/>
      <w:r w:rsidRPr="00410E67">
        <w:t>уб</w:t>
      </w:r>
      <w:proofErr w:type="spellEnd"/>
      <w:r w:rsidR="00F56F98">
        <w:t>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F56F98">
        <w:rPr>
          <w:rStyle w:val="10"/>
          <w:i/>
        </w:rPr>
        <w:t xml:space="preserve"> </w:t>
      </w:r>
      <w:r>
        <w:rPr>
          <w:rStyle w:val="10"/>
          <w:i/>
        </w:rPr>
        <w:t xml:space="preserve"> за </w:t>
      </w:r>
      <w:r w:rsidRPr="00D65B31"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 w:rsidRPr="00D65B31">
        <w:rPr>
          <w:rStyle w:val="10"/>
        </w:rPr>
        <w:t xml:space="preserve"> 2019 исполнение составило </w:t>
      </w:r>
      <w:r w:rsidR="00F56F98">
        <w:rPr>
          <w:rStyle w:val="10"/>
        </w:rPr>
        <w:t>1,8</w:t>
      </w:r>
      <w:r w:rsidRPr="00D65B31">
        <w:rPr>
          <w:rStyle w:val="10"/>
        </w:rPr>
        <w:t xml:space="preserve"> тыс. руб.</w:t>
      </w:r>
    </w:p>
    <w:p w:rsidR="00D67EF3" w:rsidRPr="00410E67" w:rsidRDefault="00F56F98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Расхода на д</w:t>
      </w:r>
      <w:r w:rsidR="00D67EF3" w:rsidRPr="00410E67">
        <w:rPr>
          <w:rStyle w:val="10"/>
          <w:i/>
        </w:rPr>
        <w:t>ругие общегосударственные вопросы</w:t>
      </w:r>
      <w:r w:rsidR="00D67EF3" w:rsidRPr="00410E67">
        <w:rPr>
          <w:rStyle w:val="10"/>
        </w:rPr>
        <w:t xml:space="preserve"> за </w:t>
      </w:r>
      <w:r w:rsidR="00D67EF3"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 w:rsidR="00D67EF3">
        <w:rPr>
          <w:rStyle w:val="10"/>
        </w:rPr>
        <w:t xml:space="preserve"> 2019</w:t>
      </w:r>
      <w:r w:rsidR="00D67EF3"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5B6075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F56F98">
        <w:rPr>
          <w:rStyle w:val="10"/>
        </w:rPr>
        <w:t>36,7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="00F56F98">
        <w:rPr>
          <w:rStyle w:val="10"/>
        </w:rPr>
        <w:t>руб.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sz w:val="27"/>
          <w:szCs w:val="27"/>
        </w:rPr>
        <w:t>79,3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5B6075">
        <w:rPr>
          <w:rStyle w:val="10"/>
        </w:rPr>
        <w:t>46,3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 w:rsidR="005B6075">
        <w:rPr>
          <w:rStyle w:val="10"/>
        </w:rPr>
        <w:t>увеличились на</w:t>
      </w:r>
      <w:r w:rsidRPr="00410E67">
        <w:rPr>
          <w:rStyle w:val="10"/>
        </w:rPr>
        <w:t xml:space="preserve"> </w:t>
      </w:r>
      <w:r w:rsidR="005B6075">
        <w:rPr>
          <w:rStyle w:val="10"/>
        </w:rPr>
        <w:t>15,3</w:t>
      </w:r>
      <w:r>
        <w:rPr>
          <w:rStyle w:val="10"/>
        </w:rPr>
        <w:t xml:space="preserve"> тыс. руб. </w:t>
      </w: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5B6075">
        <w:rPr>
          <w:rStyle w:val="10"/>
        </w:rPr>
        <w:t>7,8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</w:t>
      </w:r>
      <w:r>
        <w:rPr>
          <w:rStyle w:val="10"/>
        </w:rPr>
        <w:t>отсутствуют</w:t>
      </w:r>
      <w:r w:rsidR="005B6075">
        <w:rPr>
          <w:rStyle w:val="10"/>
        </w:rPr>
        <w:t>, бюджетные назначения составляют  на 2019 год 1,0 тыс. руб</w:t>
      </w:r>
      <w:proofErr w:type="gramStart"/>
      <w:r w:rsidR="005B6075">
        <w:rPr>
          <w:rStyle w:val="10"/>
        </w:rPr>
        <w:t>.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  <w:proofErr w:type="gramEnd"/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5B6075">
        <w:rPr>
          <w:rStyle w:val="10"/>
        </w:rPr>
        <w:t>составило 4,2 тыс. руб. или 2,0% при годовом плане 208, 3 тыс. руб</w:t>
      </w:r>
      <w:r>
        <w:rPr>
          <w:rStyle w:val="10"/>
        </w:rPr>
        <w:t>.</w:t>
      </w:r>
    </w:p>
    <w:p w:rsidR="00D67EF3" w:rsidRDefault="00D67EF3" w:rsidP="00EE637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>года расходы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года составили </w:t>
      </w:r>
      <w:r w:rsidR="005B6075">
        <w:rPr>
          <w:rStyle w:val="10"/>
        </w:rPr>
        <w:t>40,0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 xml:space="preserve">ом уточненном плане 76,9 тыс. рублей или </w:t>
      </w:r>
      <w:r w:rsidR="005B6075">
        <w:rPr>
          <w:rStyle w:val="10"/>
        </w:rPr>
        <w:t>52,0</w:t>
      </w:r>
      <w:r w:rsidRPr="00410E67">
        <w:rPr>
          <w:rStyle w:val="10"/>
        </w:rPr>
        <w:t>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DF0EAA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26.12.2018</w:t>
        </w:r>
      </w:smartTag>
      <w:r>
        <w:t xml:space="preserve"> г. №3-164</w:t>
      </w:r>
      <w:r w:rsidRPr="00410E67">
        <w:t xml:space="preserve"> «О бюджете </w:t>
      </w:r>
      <w:r>
        <w:t>муниципального образования «</w:t>
      </w:r>
      <w:proofErr w:type="spellStart"/>
      <w:r>
        <w:t>Краснокосаровское</w:t>
      </w:r>
      <w:proofErr w:type="spellEnd"/>
      <w:r>
        <w:t xml:space="preserve"> сельское поселение, </w:t>
      </w:r>
      <w:proofErr w:type="spellStart"/>
      <w:r>
        <w:t>Млинского</w:t>
      </w:r>
      <w:proofErr w:type="spellEnd"/>
      <w:r>
        <w:t xml:space="preserve"> района, Брянской области » на 2019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>
        <w:t>281,4 тыс.</w:t>
      </w:r>
      <w:r w:rsidRPr="00410E67">
        <w:t xml:space="preserve"> руб.</w:t>
      </w:r>
    </w:p>
    <w:p w:rsidR="00D67EF3" w:rsidRDefault="00D969AE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Бю</w:t>
      </w:r>
      <w:r w:rsidR="00D67EF3">
        <w:t xml:space="preserve">джет </w:t>
      </w:r>
      <w:proofErr w:type="spellStart"/>
      <w:r w:rsidR="00D67EF3">
        <w:t>Краснокосаровского</w:t>
      </w:r>
      <w:proofErr w:type="spellEnd"/>
      <w:r w:rsidR="00D67EF3">
        <w:t xml:space="preserve"> сельского поселения </w:t>
      </w:r>
      <w:r>
        <w:t>за 1 полугодие 2019 года исполнен с дефицитом в сумме</w:t>
      </w:r>
      <w:r w:rsidR="00D67EF3">
        <w:t xml:space="preserve"> </w:t>
      </w:r>
      <w:r>
        <w:t>4,2</w:t>
      </w:r>
      <w:r w:rsidR="00D67EF3">
        <w:t xml:space="preserve"> тыс.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 xml:space="preserve">В состав источников внутреннего финансирования дефицита бюджета </w:t>
      </w:r>
      <w:proofErr w:type="spellStart"/>
      <w:r w:rsidR="00CC7EA2">
        <w:t>Краснокосаровского</w:t>
      </w:r>
      <w:proofErr w:type="spellEnd"/>
      <w:r>
        <w:t xml:space="preserve"> сельского поселения включены остатк</w:t>
      </w:r>
      <w:r w:rsidR="00D969AE">
        <w:t>и</w:t>
      </w:r>
      <w:r>
        <w:t xml:space="preserve"> средств на счетах по учету средств бюджета в сумме 281,4 тыс. рублей.</w:t>
      </w:r>
    </w:p>
    <w:p w:rsidR="00D969AE" w:rsidRPr="00410E67" w:rsidRDefault="00D969AE" w:rsidP="00D969AE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полугодие 2019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D969AE" w:rsidRDefault="00D969AE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Default="00D67EF3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969AE" w:rsidRPr="004B6568" w:rsidRDefault="00D969AE" w:rsidP="00D969AE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>1.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>в</w:t>
      </w:r>
      <w:r w:rsidRPr="00410E67">
        <w:rPr>
          <w:rStyle w:val="10"/>
        </w:rPr>
        <w:t xml:space="preserve"> </w:t>
      </w:r>
      <w:proofErr w:type="spellStart"/>
      <w:r>
        <w:rPr>
          <w:rStyle w:val="10"/>
        </w:rPr>
        <w:t>Краснокосаровский</w:t>
      </w:r>
      <w:proofErr w:type="spellEnd"/>
      <w:r>
        <w:rPr>
          <w:rStyle w:val="10"/>
        </w:rPr>
        <w:t xml:space="preserve"> сельский совет народных депутатов.</w:t>
      </w:r>
    </w:p>
    <w:p w:rsidR="00D67EF3" w:rsidRPr="004B6568" w:rsidRDefault="00D969AE" w:rsidP="00EE6371">
      <w:pPr>
        <w:pStyle w:val="112"/>
        <w:rPr>
          <w:rStyle w:val="30"/>
          <w:sz w:val="27"/>
          <w:szCs w:val="27"/>
        </w:rPr>
      </w:pPr>
      <w:r>
        <w:rPr>
          <w:sz w:val="27"/>
          <w:szCs w:val="27"/>
        </w:rPr>
        <w:t>2</w:t>
      </w:r>
      <w:r w:rsidR="00D67EF3" w:rsidRPr="00304499">
        <w:rPr>
          <w:sz w:val="27"/>
          <w:szCs w:val="27"/>
        </w:rPr>
        <w:t>.</w:t>
      </w:r>
      <w:r w:rsidR="00D67EF3">
        <w:rPr>
          <w:b/>
          <w:sz w:val="27"/>
          <w:szCs w:val="27"/>
        </w:rPr>
        <w:t xml:space="preserve"> </w:t>
      </w:r>
      <w:r w:rsidR="00D67EF3"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 w:rsidR="00D67EF3">
        <w:rPr>
          <w:rStyle w:val="10"/>
        </w:rPr>
        <w:t>Краснокосаровской</w:t>
      </w:r>
      <w:proofErr w:type="spellEnd"/>
      <w:r w:rsidR="00D67EF3">
        <w:rPr>
          <w:rStyle w:val="10"/>
        </w:rPr>
        <w:t xml:space="preserve"> сельской </w:t>
      </w:r>
      <w:r w:rsidR="00D67EF3" w:rsidRPr="00410E67">
        <w:rPr>
          <w:rStyle w:val="10"/>
        </w:rPr>
        <w:t>администрации</w:t>
      </w:r>
      <w:r w:rsidR="00D67EF3">
        <w:rPr>
          <w:rStyle w:val="10"/>
        </w:rPr>
        <w:t>.</w:t>
      </w:r>
    </w:p>
    <w:p w:rsidR="00D67EF3" w:rsidRPr="003434DC" w:rsidRDefault="00D67EF3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5B6075"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Style w:val="10"/>
        </w:rPr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D67EF3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F3" w:rsidRDefault="00D67EF3" w:rsidP="0050045E">
      <w:r>
        <w:separator/>
      </w:r>
    </w:p>
  </w:endnote>
  <w:endnote w:type="continuationSeparator" w:id="0">
    <w:p w:rsidR="00D67EF3" w:rsidRDefault="00D67EF3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E865A8" w:rsidRPr="00E865A8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B302C4" w:rsidRPr="00B302C4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F3" w:rsidRDefault="00D67EF3"/>
  </w:footnote>
  <w:footnote w:type="continuationSeparator" w:id="0">
    <w:p w:rsidR="00D67EF3" w:rsidRDefault="00D67E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8527B"/>
    <w:rsid w:val="00092FD0"/>
    <w:rsid w:val="00094FFA"/>
    <w:rsid w:val="000A2F64"/>
    <w:rsid w:val="000B44FC"/>
    <w:rsid w:val="000B62DF"/>
    <w:rsid w:val="000C375D"/>
    <w:rsid w:val="000C6E42"/>
    <w:rsid w:val="000D3B34"/>
    <w:rsid w:val="000F4E09"/>
    <w:rsid w:val="000F555A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3754"/>
    <w:rsid w:val="0039675D"/>
    <w:rsid w:val="003967EA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D3D0D"/>
    <w:rsid w:val="004F2D91"/>
    <w:rsid w:val="0050045E"/>
    <w:rsid w:val="00502702"/>
    <w:rsid w:val="0052374B"/>
    <w:rsid w:val="005304D7"/>
    <w:rsid w:val="00540041"/>
    <w:rsid w:val="005461B3"/>
    <w:rsid w:val="005468A8"/>
    <w:rsid w:val="00546D45"/>
    <w:rsid w:val="00547FED"/>
    <w:rsid w:val="005518AD"/>
    <w:rsid w:val="005536C8"/>
    <w:rsid w:val="00560452"/>
    <w:rsid w:val="00561AF2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075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3A0B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3D58"/>
    <w:rsid w:val="007F463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133E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6FAA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02C4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32F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C7EA2"/>
    <w:rsid w:val="00CD7693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84B27"/>
    <w:rsid w:val="00D9098B"/>
    <w:rsid w:val="00D92BF5"/>
    <w:rsid w:val="00D969AE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0EAA"/>
    <w:rsid w:val="00DF4CE2"/>
    <w:rsid w:val="00E22534"/>
    <w:rsid w:val="00E312AD"/>
    <w:rsid w:val="00E32761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54392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865A8"/>
    <w:rsid w:val="00E904DA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267E"/>
    <w:rsid w:val="00F54BEF"/>
    <w:rsid w:val="00F56546"/>
    <w:rsid w:val="00F56F98"/>
    <w:rsid w:val="00F5772A"/>
    <w:rsid w:val="00F61848"/>
    <w:rsid w:val="00F63518"/>
    <w:rsid w:val="00F64B49"/>
    <w:rsid w:val="00F66B65"/>
    <w:rsid w:val="00F7267A"/>
    <w:rsid w:val="00F73FD8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E865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65A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3811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286</cp:revision>
  <cp:lastPrinted>2019-12-05T14:33:00Z</cp:lastPrinted>
  <dcterms:created xsi:type="dcterms:W3CDTF">2017-07-17T08:21:00Z</dcterms:created>
  <dcterms:modified xsi:type="dcterms:W3CDTF">2019-12-05T14:34:00Z</dcterms:modified>
</cp:coreProperties>
</file>